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6"/>
        <w:spacing w:after="0" w:before="0"/>
        <w:jc w:val="center"/>
      </w:pPr>
      <w:r>
        <w:rPr/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Uchwała Nr XLIII/551/14</w:t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Rady Gminy Bobrowniki</w:t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z dnia 31 lipca 2014 r.</w:t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 </w:t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w sprawie poboru opłaty skarbowej w drodze inkasa, wyznaczenia inkasenta                               i określenia wysokości wynagrodzenia za inkaso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</w:rPr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</w:rPr>
      </w:r>
    </w:p>
    <w:p>
      <w:pPr>
        <w:pStyle w:val="style26"/>
        <w:spacing w:after="0" w:before="0"/>
        <w:ind w:firstLine="708" w:left="0" w:right="0"/>
        <w:jc w:val="both"/>
      </w:pPr>
      <w:r>
        <w:rPr>
          <w:rFonts w:cs="Times New Roman"/>
          <w:color w:val="000000"/>
        </w:rPr>
        <w:t xml:space="preserve">Na podstawie art. 18 ust. 2 pkt. 8 ustawy z dnia 8 marca 1990 r. o samorządzie gminnym </w:t>
      </w:r>
      <w:r>
        <w:rPr>
          <w:rFonts w:cs="Times New Roman" w:eastAsia="TimesNewRomanPSMT"/>
          <w:color w:val="000000"/>
        </w:rPr>
        <w:t>(tekst jednolity: Dz. U z 2013 r. poz. 594, z późn. zm.)</w:t>
      </w:r>
      <w:r>
        <w:rPr>
          <w:rFonts w:cs="Times New Roman"/>
          <w:color w:val="000000"/>
        </w:rPr>
        <w:t xml:space="preserve"> w związku z art.8 ust. 2 ustawy z dnia 16 listopada 2006 r. o opłacie skarbowej (Dz. U. 2012 r., poz. 1282 z późn. zm.)</w:t>
      </w:r>
    </w:p>
    <w:p>
      <w:pPr>
        <w:pStyle w:val="style26"/>
        <w:spacing w:after="0" w:before="0"/>
      </w:pPr>
      <w:r>
        <w:rPr>
          <w:rFonts w:cs="Times New Roman"/>
          <w:color w:val="000000"/>
        </w:rPr>
        <w:t> </w:t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Rada Gminy Bobrowniki</w:t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uchwala:</w:t>
      </w:r>
    </w:p>
    <w:p>
      <w:pPr>
        <w:pStyle w:val="style26"/>
        <w:spacing w:after="0" w:before="0"/>
        <w:jc w:val="center"/>
      </w:pPr>
      <w:r>
        <w:rPr>
          <w:rFonts w:cs="Times New Roman"/>
        </w:rPr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§ 1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</w:rPr>
        <w:t>Zarządza się pobór opłaty skarbowej w drodze inkasa.</w:t>
      </w:r>
    </w:p>
    <w:p>
      <w:pPr>
        <w:pStyle w:val="style26"/>
        <w:spacing w:after="0" w:before="0"/>
        <w:jc w:val="both"/>
      </w:pPr>
      <w:r>
        <w:rPr>
          <w:rFonts w:cs="Times New Roman"/>
          <w:sz w:val="16"/>
          <w:szCs w:val="16"/>
        </w:rPr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§ 2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</w:rPr>
        <w:t>Wyznacza się inkasenta opłaty skarbowej - Urząd Gminy Bobrowniki.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  <w:sz w:val="16"/>
          <w:szCs w:val="16"/>
        </w:rPr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§ 3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</w:rPr>
        <w:t>Poboru opłaty skarbowej inkasent  dokonuje w godzinach pracy Urzędu, ale poza godzinami kasowymi banku prowadzącego obsługę kasową.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  <w:sz w:val="16"/>
          <w:szCs w:val="16"/>
        </w:rPr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§ 4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</w:rPr>
        <w:t>Pobór opłaty skarbowej odbywa się na podstawie ostemplowanego i ponumerowanego kwitariusza przychodowego K- 103.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  <w:sz w:val="16"/>
          <w:szCs w:val="16"/>
        </w:rPr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§ 5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</w:rPr>
        <w:t>Inkasent zobowiązany jest do wpłaty pełnej pobranej kwoty opłaty skarbowej na wskazany rachunek bankowy Gminy Bobrowniki w następnym dniu roboczym po pobraniu opłaty.</w:t>
      </w:r>
    </w:p>
    <w:p>
      <w:pPr>
        <w:pStyle w:val="style26"/>
        <w:spacing w:after="0" w:before="0"/>
        <w:jc w:val="both"/>
      </w:pPr>
      <w:r>
        <w:rPr>
          <w:rFonts w:cs="Times New Roman"/>
          <w:sz w:val="16"/>
          <w:szCs w:val="16"/>
        </w:rPr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§ 6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</w:rPr>
        <w:t>Inkasent dokonuje poboru opłaty skarbowej w ramach czynności służbowych                                    i wynagrodzenia za pracę.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  <w:sz w:val="16"/>
          <w:szCs w:val="16"/>
        </w:rPr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§ 7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</w:rPr>
        <w:t>Do spraw nie uregulowanych niniejszą uchwałą mają zastosowanie przepisy ustawy z dnia  29 sierpnia 1997 r. Ordynacja podatkowa (t. j. Dz. U. z 2012 r., poz. 749 z późn. zm.), dotyczące praw  i obowiązków inkasentów.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  <w:sz w:val="16"/>
          <w:szCs w:val="16"/>
        </w:rPr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§ 8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</w:rPr>
        <w:t>Wykonanie uchwały powierza się Wójtowi Gminy.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  <w:sz w:val="16"/>
          <w:szCs w:val="16"/>
        </w:rPr>
      </w:r>
    </w:p>
    <w:p>
      <w:pPr>
        <w:pStyle w:val="style26"/>
        <w:spacing w:after="0" w:before="0"/>
        <w:jc w:val="center"/>
      </w:pPr>
      <w:r>
        <w:rPr>
          <w:rStyle w:val="style24"/>
          <w:rFonts w:cs="Times New Roman"/>
          <w:color w:val="000000"/>
        </w:rPr>
        <w:t>§ 9</w:t>
      </w:r>
    </w:p>
    <w:p>
      <w:pPr>
        <w:pStyle w:val="style26"/>
        <w:spacing w:after="0" w:before="0"/>
        <w:jc w:val="both"/>
      </w:pPr>
      <w:r>
        <w:rPr>
          <w:rFonts w:cs="Times New Roman"/>
          <w:color w:val="000000"/>
        </w:rPr>
        <w:t xml:space="preserve">1.Traci moc </w:t>
      </w:r>
      <w:bookmarkStart w:id="0" w:name="center"/>
      <w:bookmarkEnd w:id="0"/>
      <w:r>
        <w:rPr>
          <w:rStyle w:val="style24"/>
          <w:rFonts w:cs="Times New Roman"/>
          <w:b w:val="false"/>
          <w:color w:val="000000"/>
        </w:rPr>
        <w:t>uchwała Nr XXVIII/284/09</w:t>
      </w:r>
      <w:bookmarkStart w:id="1" w:name="center1"/>
      <w:bookmarkEnd w:id="1"/>
      <w:r>
        <w:rPr>
          <w:rStyle w:val="style24"/>
          <w:rFonts w:cs="Times New Roman"/>
          <w:b w:val="false"/>
          <w:color w:val="000000"/>
        </w:rPr>
        <w:t xml:space="preserve"> Rady Gminy Bobrowniki</w:t>
      </w:r>
      <w:bookmarkStart w:id="2" w:name="center2"/>
      <w:bookmarkEnd w:id="2"/>
      <w:r>
        <w:rPr>
          <w:rStyle w:val="style24"/>
          <w:rFonts w:cs="Times New Roman"/>
          <w:b w:val="false"/>
          <w:color w:val="000000"/>
        </w:rPr>
        <w:t xml:space="preserve"> z dnia 27 lutego 2009 r.              w sprawie  poboru opłaty skarbowej w drodze inkasa, wyznaczenia inkasenta i określenia wysokości wynagrodzenia za inkaso.</w:t>
      </w:r>
    </w:p>
    <w:p>
      <w:pPr>
        <w:pStyle w:val="style26"/>
        <w:spacing w:after="0" w:before="0"/>
        <w:jc w:val="both"/>
      </w:pPr>
      <w:r>
        <w:rPr>
          <w:rStyle w:val="style24"/>
          <w:rFonts w:cs="Times New Roman"/>
          <w:b w:val="false"/>
          <w:color w:val="000000"/>
        </w:rPr>
        <w:t>2. Uchwała wchodzi w życie po upływie 14 dni od dnia ogłoszenia w Dzienniku Urzędowym Województwa Śląskiego.</w:t>
      </w:r>
    </w:p>
    <w:p>
      <w:pPr>
        <w:pStyle w:val="style26"/>
        <w:spacing w:after="0" w:before="0"/>
        <w:jc w:val="both"/>
      </w:pPr>
      <w:r>
        <w:rPr>
          <w:rStyle w:val="style24"/>
          <w:rFonts w:cs="Times New Roman"/>
          <w:b w:val="false"/>
          <w:color w:val="000000"/>
        </w:rPr>
        <w:t>3.Uchwała podlega ogłoszeniu w sposób zwyczajowo przyjęty na terenie Gminy.</w:t>
      </w:r>
    </w:p>
    <w:p>
      <w:pPr>
        <w:pStyle w:val="style0"/>
      </w:pPr>
      <w:r>
        <w:rPr/>
      </w:r>
    </w:p>
    <w:p>
      <w:pPr>
        <w:pStyle w:val="style0"/>
        <w:ind w:hanging="0" w:left="5445" w:right="0"/>
      </w:pPr>
      <w:r>
        <w:rPr/>
        <w:t>Przewodniczący Rady Gminy</w:t>
      </w:r>
    </w:p>
    <w:p>
      <w:pPr>
        <w:pStyle w:val="style0"/>
        <w:ind w:hanging="0" w:left="4485" w:right="0"/>
        <w:jc w:val="center"/>
      </w:pPr>
      <w:r>
        <w:rPr/>
      </w:r>
    </w:p>
    <w:p>
      <w:pPr>
        <w:pStyle w:val="style0"/>
        <w:ind w:hanging="0" w:left="4485" w:right="0"/>
        <w:jc w:val="center"/>
      </w:pPr>
      <w:r>
        <w:rPr/>
        <w:t>Katarzyna Cofała</w:t>
      </w:r>
    </w:p>
    <w:sectPr>
      <w:type w:val="nextPage"/>
      <w:pgSz w:h="16838" w:w="11906"/>
      <w:pgMar w:bottom="851" w:footer="0" w:gutter="0" w:header="0" w:left="1418" w:right="1418" w:top="851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9" w:val="left"/>
      </w:tabs>
      <w:suppressAutoHyphens w:val="true"/>
      <w:kinsoku w:val="true"/>
      <w:overflowPunct w:val="true"/>
      <w:autoSpaceDE w:val="true"/>
      <w:jc w:val="both"/>
    </w:pPr>
    <w:rPr>
      <w:rFonts w:ascii="Times New Roman" w:cs="Mangal" w:eastAsia="Lucida Sans Unicode" w:hAnsi="Times New Roman"/>
      <w:color w:val="auto"/>
      <w:sz w:val="24"/>
      <w:szCs w:val="24"/>
      <w:lang w:bidi="hi-IN" w:eastAsia="ar-SA" w:val="pl-PL"/>
    </w:rPr>
  </w:style>
  <w:style w:styleId="style1" w:type="paragraph">
    <w:name w:val="Nagłówek 1"/>
    <w:basedOn w:val="style0"/>
    <w:next w:val="style26"/>
    <w:pPr>
      <w:keepNext/>
    </w:pPr>
    <w:rPr>
      <w:sz w:val="28"/>
      <w:szCs w:val="28"/>
    </w:rPr>
  </w:style>
  <w:style w:styleId="style2" w:type="paragraph">
    <w:name w:val="Nagłówek 2"/>
    <w:basedOn w:val="style0"/>
    <w:next w:val="style26"/>
    <w:pPr>
      <w:keepNext/>
      <w:numPr>
        <w:ilvl w:val="1"/>
        <w:numId w:val="1"/>
      </w:numPr>
      <w:outlineLvl w:val="1"/>
    </w:pPr>
    <w:rPr>
      <w:i/>
      <w:iCs/>
      <w:sz w:val="28"/>
      <w:szCs w:val="28"/>
    </w:rPr>
  </w:style>
  <w:style w:styleId="style3" w:type="paragraph">
    <w:name w:val="Nagłówek 3"/>
    <w:basedOn w:val="style0"/>
    <w:next w:val="style26"/>
    <w:pPr>
      <w:keepNext/>
      <w:numPr>
        <w:ilvl w:val="2"/>
        <w:numId w:val="1"/>
      </w:numPr>
      <w:outlineLvl w:val="2"/>
    </w:pPr>
    <w:rPr>
      <w:i/>
      <w:iCs/>
      <w:sz w:val="24"/>
      <w:szCs w:val="24"/>
    </w:rPr>
  </w:style>
  <w:style w:styleId="style4" w:type="paragraph">
    <w:name w:val="Nagłówek 4"/>
    <w:basedOn w:val="style0"/>
    <w:next w:val="style26"/>
    <w:pPr>
      <w:keepNext/>
      <w:numPr>
        <w:ilvl w:val="3"/>
        <w:numId w:val="1"/>
      </w:numPr>
      <w:outlineLvl w:val="3"/>
    </w:pPr>
    <w:rPr>
      <w:sz w:val="28"/>
      <w:szCs w:val="28"/>
    </w:rPr>
  </w:style>
  <w:style w:styleId="style5" w:type="paragraph">
    <w:name w:val="Nagłówek 5"/>
    <w:basedOn w:val="style0"/>
    <w:next w:val="style26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Nagłówek 1 Znak"/>
    <w:basedOn w:val="style15"/>
    <w:next w:val="style16"/>
    <w:rPr>
      <w:sz w:val="28"/>
      <w:szCs w:val="28"/>
      <w:lang w:eastAsia="ar-SA"/>
    </w:rPr>
  </w:style>
  <w:style w:styleId="style17" w:type="character">
    <w:name w:val="Nagłówek 2 Znak"/>
    <w:basedOn w:val="style15"/>
    <w:next w:val="style17"/>
    <w:rPr>
      <w:i/>
      <w:iCs/>
      <w:sz w:val="28"/>
      <w:szCs w:val="28"/>
      <w:lang w:eastAsia="ar-SA"/>
    </w:rPr>
  </w:style>
  <w:style w:styleId="style18" w:type="character">
    <w:name w:val="Nagłówek 3 Znak"/>
    <w:basedOn w:val="style15"/>
    <w:next w:val="style18"/>
    <w:rPr>
      <w:i/>
      <w:iCs/>
      <w:sz w:val="24"/>
      <w:szCs w:val="24"/>
      <w:lang w:eastAsia="ar-SA"/>
    </w:rPr>
  </w:style>
  <w:style w:styleId="style19" w:type="character">
    <w:name w:val="Nagłówek 4 Znak"/>
    <w:basedOn w:val="style15"/>
    <w:next w:val="style19"/>
    <w:rPr>
      <w:sz w:val="28"/>
      <w:szCs w:val="28"/>
      <w:lang w:eastAsia="ar-SA"/>
    </w:rPr>
  </w:style>
  <w:style w:styleId="style20" w:type="character">
    <w:name w:val="Nagłówek 5 Znak"/>
    <w:basedOn w:val="style15"/>
    <w:next w:val="style20"/>
    <w:rPr>
      <w:sz w:val="28"/>
      <w:szCs w:val="28"/>
      <w:lang w:eastAsia="ar-SA"/>
    </w:rPr>
  </w:style>
  <w:style w:styleId="style21" w:type="character">
    <w:name w:val="Tytuł Znak"/>
    <w:basedOn w:val="style15"/>
    <w:next w:val="style21"/>
    <w:rPr>
      <w:b/>
      <w:bCs/>
      <w:sz w:val="28"/>
      <w:szCs w:val="28"/>
      <w:lang w:eastAsia="ar-SA"/>
    </w:rPr>
  </w:style>
  <w:style w:styleId="style22" w:type="character">
    <w:name w:val="Podtytuł Znak"/>
    <w:basedOn w:val="style15"/>
    <w:next w:val="style22"/>
    <w:rPr>
      <w:rFonts w:ascii="Arial" w:cs="Arial" w:hAnsi="Arial"/>
      <w:sz w:val="24"/>
      <w:szCs w:val="24"/>
      <w:lang w:eastAsia="ar-SA"/>
    </w:rPr>
  </w:style>
  <w:style w:styleId="style23" w:type="character">
    <w:name w:val="Tekst podstawowy Znak"/>
    <w:basedOn w:val="style15"/>
    <w:next w:val="style23"/>
    <w:rPr>
      <w:lang w:eastAsia="ar-SA"/>
    </w:rPr>
  </w:style>
  <w:style w:styleId="style24" w:type="character">
    <w:name w:val="Mocno wyróżniony"/>
    <w:next w:val="style24"/>
    <w:rPr>
      <w:b/>
      <w:bCs/>
    </w:rPr>
  </w:style>
  <w:style w:styleId="style25" w:type="paragraph">
    <w:name w:val="Nagłówek"/>
    <w:basedOn w:val="style0"/>
    <w:next w:val="style26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26" w:type="paragraph">
    <w:name w:val="Treść tekstu"/>
    <w:basedOn w:val="style0"/>
    <w:next w:val="style26"/>
    <w:pPr>
      <w:widowControl w:val="false"/>
      <w:spacing w:after="120" w:before="0"/>
      <w:jc w:val="left"/>
    </w:pPr>
    <w:rPr>
      <w:rFonts w:cs="Mangal" w:eastAsia="SimSun"/>
      <w:sz w:val="24"/>
      <w:szCs w:val="24"/>
      <w:lang w:bidi="hi-IN" w:eastAsia="zh-CN"/>
    </w:rPr>
  </w:style>
  <w:style w:styleId="style27" w:type="paragraph">
    <w:name w:val="Lista"/>
    <w:basedOn w:val="style26"/>
    <w:next w:val="style27"/>
    <w:pPr/>
    <w:rPr>
      <w:rFonts w:cs="Mangal"/>
    </w:rPr>
  </w:style>
  <w:style w:styleId="style28" w:type="paragraph">
    <w:name w:val="Podpis"/>
    <w:basedOn w:val="style0"/>
    <w:next w:val="style2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9" w:type="paragraph">
    <w:name w:val="Indeks"/>
    <w:basedOn w:val="style0"/>
    <w:next w:val="style29"/>
    <w:pPr>
      <w:suppressLineNumbers/>
    </w:pPr>
    <w:rPr>
      <w:rFonts w:cs="Mangal"/>
    </w:rPr>
  </w:style>
  <w:style w:styleId="style30" w:type="paragraph">
    <w:name w:val="Tytuł"/>
    <w:basedOn w:val="style0"/>
    <w:next w:val="style31"/>
    <w:pPr>
      <w:jc w:val="center"/>
    </w:pPr>
    <w:rPr>
      <w:b/>
      <w:bCs/>
      <w:sz w:val="28"/>
      <w:szCs w:val="28"/>
    </w:rPr>
  </w:style>
  <w:style w:styleId="style31" w:type="paragraph">
    <w:name w:val="Podtytuł"/>
    <w:basedOn w:val="style0"/>
    <w:next w:val="style26"/>
    <w:pPr>
      <w:spacing w:after="60" w:before="0"/>
      <w:jc w:val="center"/>
    </w:pPr>
    <w:rPr>
      <w:rFonts w:ascii="Arial" w:cs="Arial" w:hAnsi="Arial"/>
      <w:i/>
      <w:iCs/>
      <w:sz w:val="24"/>
      <w:szCs w:val="24"/>
    </w:rPr>
  </w:style>
  <w:style w:styleId="style32" w:type="paragraph">
    <w:name w:val="No Spacing"/>
    <w:next w:val="style32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  <w:jc w:val="both"/>
    </w:pPr>
    <w:rPr>
      <w:rFonts w:ascii="Times New Roman" w:cs="Mangal" w:eastAsia="Lucida Sans Unicode" w:hAnsi="Times New Roman"/>
      <w:color w:val="auto"/>
      <w:sz w:val="24"/>
      <w:szCs w:val="24"/>
      <w:lang w:bidi="hi-IN" w:eastAsia="zh-CN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2014-07-17T07:39:00.00Z</dcterms:created>
  <dc:creator>Your User Name</dc:creator>
  <cp:lastModifiedBy>Your User Name</cp:lastModifiedBy>
  <cp:lastPrinted>2014-08-04T07:54:00.00Z</cp:lastPrinted>
  <dcterms:modified xsi:type="dcterms:W3CDTF">2014-08-04T07:54:00.00Z</dcterms:modified>
  <cp:revision>2</cp:revision>
</cp:coreProperties>
</file>